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PLATE led 40 m Decken-/Wandanbau EB-SK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als universelle Montage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kann sowohl an der Wand als auch an der Decke montiert werden.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70% seines Anfangslichtstromes haben</w:t>
      </w:r>
      <w:r>
        <w:rPr>
          <w:rFonts w:ascii="Arial" w:hAnsi="Arial"/>
          <w:sz w:val="20"/>
          <w:szCs w:val="20"/>
          <w:rtl w:val="0"/>
          <w:lang w:val="de-DE"/>
        </w:rPr>
        <w:t xml:space="preserve"> Die Leuchte muss eine hohe Wartungsfreundlichkeit aufweisen.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Die Leuchte muss mit einer innovativen Superkondensatoren-Technologie ausgestattet sein, die eine lange Lebensdauer (&gt; 10 Jahre) des Energiespeichermediums gew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hrleistet und einen Betrieb bei niedrigen Temperaturen (&lt; 0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C) erm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glicht.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10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den Superkondensator und das Leuchtmittel LED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funkbasierte Kommunikationsoption kann integriert werden.</w:t>
      </w: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Decken-/Wandanbaumontage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40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285 x 405 x 41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Superkondensator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>4,0 VA / 3,2 W (Dauerschaltung)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 xml:space="preserve">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-25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+35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1400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44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LED-Modul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1 h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ß </w:t>
      </w:r>
      <w:r>
        <w:rPr>
          <w:rFonts w:ascii="Arial" w:hAnsi="Arial"/>
          <w:sz w:val="20"/>
          <w:szCs w:val="20"/>
          <w:rtl w:val="0"/>
          <w:lang w:val="de-DE"/>
        </w:rPr>
        <w:t>(RAL 9003)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943.03.24012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